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310</w:t>
      </w:r>
    </w:p>
    <w:p>
      <w:r>
        <w:t>Bundesgericht (BGE), 2008-06-11, DE</w:t>
      </w:r>
    </w:p>
    <w:p>
      <w:r>
        <w:rPr>
          <w:b/>
        </w:rPr>
        <w:t xml:space="preserve">Quelle: </w:t>
      </w:r>
      <w:r>
        <w:t>https://mcp.opencaselaw.ch/entscheid/bge_135 II 310</w:t>
      </w:r>
    </w:p>
    <w:p>
      <w:r>
        <w:t>FR: ATF 135 II 310</w:t>
      </w:r>
    </w:p>
    <w:p>
      <w:r>
        <w:t>IT: DTF 135 II 310</w:t>
      </w:r>
    </w:p>
    <w:p>
      <w:pPr>
        <w:pStyle w:val="Heading2"/>
      </w:pPr>
      <w:r>
        <w:t>Regeste</w:t>
      </w:r>
    </w:p>
    <w:p>
      <w:r>
        <w:t>Regeste Art. 90 BGG; Expropriationsgesetz des Kantons Schwyz vom 1. Dezember 1870; zweistufiges kantonales Enteignungsverfahren; Entscheid über Zulässigkeit und Umfang der Enteignung als Endentscheid. Ist das kantonale Enteignungsverfahren wie im Kanton Schwyz zweistufig ausgestaltet mit Entscheid über Zulässigkeit und Umfang der Enteignung auf der ersten Stufe und Entscheid über die Entschädigung auf der zweiten, so ist der erste Entscheid ein Endentscheid im Sinne von Art. 90 BGG, falls das Verfahren auf der zweiten Stufe erst eingeleitet werden darf, wenn auf der ersten rechtskräftig entschieden worden ist (E. 1.2).</w:t>
      </w:r>
    </w:p>
    <w:p>
      <w:pPr>
        <w:pStyle w:val="Heading2"/>
      </w:pPr>
      <w:r>
        <w:t>Erwägungen</w:t>
      </w:r>
    </w:p>
    <w:p>
      <w:r>
        <w:rPr>
          <w:b/>
        </w:rPr>
        <w:t>E. 1.2</w:t>
      </w:r>
    </w:p>
    <w:p>
      <w:r>
        <w:t>Das schwyzerische Enteignungsverfahren ist zweistufig aufgebaut. Auf der ersten Stufe entscheidet nach § 2 Abs. 1 des Expropriationsgesetzes des Kantons Schwyz vom 1. Dezember 1870 (SRSZ 470.100; im Folgenden: EntG/SZ) in BGE 135 II 310 S. 312 Bezirksangelegenheiten der Bezirksrat über die Zulässigkeit und den Umfang der Enteignung. Gegen dessen Entscheid stehen als Rechtsmittel die Verwaltungsbeschwerde an den Regierungsrat (§ 45 Abs. 1 lit. b der Verordnung vom 6. Juni 1974 über die Verwaltungsrechtspflege [SRSZ 234.110; im Folgenden: VRP/SZ] i.V.m. § 2 Abs. 2 EntG /SZ) und danach die Verwaltungsgerichtsbeschwerde zur Verfügung ( § 51 lit. a VRP /SZ). Auf der zweiten Stufe des Enteignungsverfahrens legt die zuständige Schätzungskommission die Entschädigungssumme fest (§ 1 Abs. 1 der Vollzugsverordnung vom 23. Dezember 1974 zum Enteignungsrecht [SRSZ 470.111; im Folgenden: VVEntG] i.V.m. § 14 EntG /SZ). Ihr Entscheid kann mit Klage beim Verwaltungsgericht angefochten werden (§ 3 Abs. 1 VVEntG i.V.m. § 14 EntG /SZ). Nach der kantonalen Rechtsprechung darf die Schätzungskommission erst tätig werden, wenn das Verfahren der ersten Stufe rechtskräftig abgeschlossen ist. Auf den angefochtenen Entscheid, bei dem es um die Frage der Zulässigkeit und des Umfangs der strittigen Enteignung geht, kann demnach in einem nachfolgenden Schätzungsverfahren grundsätzlich nicht mehr zurückgekommen werden. Er ist daher abschliessend im Sinne von Art. 90 BGG und gilt deshalb als Endentscheid.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